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الكفايات اللغوية 2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الثانية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0DEA0669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mso-wrap-style:square;position:absolute;rotation:-90;v-text-anchor:top;visibility:visible;z-index:251664384" filled="f" stroked="f">
                <v:stroke joinstyle="round"/>
                <v:textbox>
                  <w:txbxContent>
                    <w:p w:rsidR="00101A2D" w:rsidRPr="00101A2D" w:rsidP="00101A2D" w14:paraId="12D177B9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tblLook w:val="04A0"/>
        </w:tblPrEx>
        <w:trPr>
          <w:trHeight w:val="1720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التوابع والأساليب النحوية-&gt;النشاطات التمهيدية</w:t>
              <w:br/>
              <w:t>‾‾‾‾‾</w:t>
              <w:br/>
              <w:t>التهيئة</w:t>
              <w:br/>
              <w:t>‾‾‾‾‾</w:t>
              <w:br/>
              <w:t>التوابع والأساليب النحوية-&gt;التوابع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التوابع والأساليب النحوية-&gt;الأساليب النحوية (المنادى)</w:t>
              <w:br/>
              <w:t>‾‾‾‾‾</w:t>
              <w:br/>
              <w:t>التوابع والأساليب النحوية-&gt;الأساليب النحوية (الاستثناء)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التوابع والأساليب النحوية-&gt;الأساليب النحوية (التعجب والعدد)</w:t>
              <w:br/>
              <w:t>‾‾‾‾‾</w:t>
              <w:br/>
              <w:t>مراجعة</w:t>
              <w:br/>
              <w:t>‾‾‾‾‾</w:t>
              <w:br/>
              <w:t>التوابع والأساليب النحوية-&gt;نشاطات الغلق والتلخيص</w:t>
            </w:r>
          </w:p>
        </w:tc>
      </w:tr>
      <w:tr w14:paraId="7D21A258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tblLook w:val="04A0"/>
        </w:tblPrEx>
        <w:trPr>
          <w:trHeight w:val="1854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قضايا إملائية-&gt;النشاطات التمهيدية</w:t>
              <w:br/>
              <w:t>‾‾‾‾‾</w:t>
              <w:br/>
              <w:t>قضايا إملائية-&gt;الألف المتطرفة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قضايا إملائية-&gt;الحذف والزيادة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قضايا إملائية-&gt;الوصل والفصل</w:t>
              <w:br/>
              <w:t>‾‾‾‾‾</w:t>
              <w:br/>
              <w:t>مراجعة</w:t>
              <w:br/>
              <w:t>‾‾‾‾‾</w:t>
              <w:br/>
              <w:t>قضايا إملائية-&gt;نشاطات الغلق والتلخيص</w:t>
            </w:r>
          </w:p>
        </w:tc>
      </w:tr>
      <w:tr w14:paraId="37324554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القراءة التحليلية الناقدة-&gt;النشاطات التمهيدية</w:t>
              <w:br/>
              <w:t>‾‾‾‾‾</w:t>
              <w:br/>
              <w:t>القراءة التحليلية الناقدة-&gt;عناصر الفعل القرائي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القراءة التحليلية الناقدة-&gt;مستويات القراءة مهاراتها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القراءة التحليلية الناقدة-&gt;نشاطات الغلق والتلخيص</w:t>
              <w:br/>
              <w:t>‾‾‾‾‾</w:t>
              <w:br/>
              <w:t>مراجعة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الكتابة العلمية-&gt;النشاطات التمهيدية</w:t>
              <w:br/>
              <w:t>‾‾‾‾‾</w:t>
              <w:br/>
              <w:t>الكتابة العلمية-&gt;الوصف العلمي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الكتابة العلمية-&gt;البرهنة والاستدلال العلمي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الكتابة العلمية-&gt;نشاطات الغلق والتلخيص</w:t>
              <w:br/>
              <w:t>‾‾‾‾‾</w:t>
              <w:br/>
              <w:t>مراجعة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التواصل الإقناعي-&gt;النشاطات التمهيدية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قضايا إملائية-&gt;النشاطات التمهيدية</w:t>
              <w:br/>
              <w:t>‾‾‾‾‾</w:t>
              <w:br/>
              <w:t>قضايا إملائية-&gt;الألف المتطرفةشر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التواصل الإقناعي-&gt;نشاطات الغلق والتلخيص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التواصل الإقناعي-&gt;نشاطات الغلق والتلخيص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A6ED5F8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9D372C" w:rsidRPr="009D372C" w:rsidP="007B38FF" w14:paraId="61E272A3" w14:textId="4A6ED5F8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1267328419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328419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46080761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807613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7A398B0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  <w:r w:rsidRPr="006C0D64" w:rsidR="006C0D64">
        <w:rPr>
          <w:rFonts w:cs="Arial"/>
          <w:b/>
          <w:bCs/>
          <w:rtl/>
        </w:rPr>
        <w:t xml:space="preserve">مدرسة: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الكفايات اللغوية 2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الثانية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7809A748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35471979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position:absolute;rotation:270;v-text-anchor:top;z-index:251668480" filled="f" fillcolor="this" stroked="f" strokeweight="0.75pt">
                <v:stroke joinstyle="round"/>
                <v:textbox>
                  <w:txbxContent>
                    <w:p w:rsidR="00101A2D" w:rsidRPr="00101A2D" w:rsidP="00101A2D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FF2CC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tblLook w:val="04A0"/>
        </w:tblPrEx>
        <w:trPr>
          <w:trHeight w:val="1962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التوابع والأساليب النحوية-&gt;النشاطات التمهيدية</w:t>
              <w:br/>
              <w:t>‾‾‾‾‾</w:t>
              <w:br/>
              <w:t>التهيئة</w:t>
              <w:br/>
              <w:t>‾‾‾‾‾</w:t>
              <w:br/>
              <w:t>التوابع والأساليب النحوية-&gt;التوابع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التوابع والأساليب النحوية-&gt;الأساليب النحوية (المنادى)</w:t>
              <w:br/>
              <w:t>‾‾‾‾‾</w:t>
              <w:br/>
              <w:t>التوابع والأساليب النحوية-&gt;الأساليب النحوية (الاستثناء)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التوابع والأساليب النحوية-&gt;الأساليب النحوية (التعجب والعدد)</w:t>
              <w:br/>
              <w:t>‾‾‾‾‾</w:t>
              <w:br/>
              <w:t>مراجعة</w:t>
              <w:br/>
              <w:t>‾‾‾‾‾</w:t>
              <w:br/>
              <w:t>التوابع والأساليب النحوية-&gt;نشاطات الغلق والتلخيص</w:t>
            </w:r>
          </w:p>
        </w:tc>
      </w:tr>
      <w:tr w14:paraId="7D21A259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FF2CC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tblLook w:val="04A0"/>
        </w:tblPrEx>
        <w:trPr>
          <w:trHeight w:val="1575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قضايا إملائية-&gt;النشاطات التمهيدية</w:t>
              <w:br/>
              <w:t>‾‾‾‾‾</w:t>
              <w:br/>
              <w:t>قضايا إملائية-&gt;الألف المتطرفة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قضايا إملائية-&gt;الحذف والزيادة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قضايا إملائية-&gt;الوصل والفصل</w:t>
              <w:br/>
              <w:t>‾‾‾‾‾</w:t>
              <w:br/>
              <w:t>مراجعة</w:t>
              <w:br/>
              <w:t>‾‾‾‾‾</w:t>
              <w:br/>
              <w:t>قضايا إملائية-&gt;نشاطات الغلق والتلخيص</w:t>
            </w:r>
          </w:p>
        </w:tc>
      </w:tr>
      <w:tr w14:paraId="37324555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FF2CC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القراءة التحليلية الناقدة-&gt;النشاطات التمهيدية</w:t>
              <w:br/>
              <w:t>‾‾‾‾‾</w:t>
              <w:br/>
              <w:t>القراءة التحليلية الناقدة-&gt;عناصر الفعل القرائي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القراءة التحليلية الناقدة-&gt;مستويات القراءة مهاراتها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القراءة التحليلية الناقدة-&gt;نشاطات الغلق والتلخيص</w:t>
              <w:br/>
              <w:t>‾‾‾‾‾</w:t>
              <w:br/>
              <w:t>مراجعة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الكتابة العلمية-&gt;النشاطات التمهيدية</w:t>
              <w:br/>
              <w:t>‾‾‾‾‾</w:t>
              <w:br/>
              <w:t>الكتابة العلمية-&gt;الوصف العلمي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الكتابة العلمية-&gt;البرهنة والاستدلال العلمي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الكتابة العلمية-&gt;نشاطات الغلق والتلخيص</w:t>
              <w:br/>
              <w:t>‾‾‾‾‾</w:t>
              <w:br/>
              <w:t>مراجعة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FF2CC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التواصل الإقناعي-&gt;النشاطات التمهيدية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قضايا إملائية-&gt;النشاطات التمهيدية</w:t>
              <w:br/>
              <w:t>‾‾‾‾‾</w:t>
              <w:br/>
              <w:t>قضايا إملائية-&gt;الألف المتطرفةشر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التواصل الإقناعي-&gt;نشاطات الغلق والتلخيص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FF2CC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التواصل الإقناعي-&gt;نشاطات الغلق والتلخيص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118511368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9C25CA1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6432" filled="f" fillcolor="this" stroked="f">
                <v:textbox>
                  <w:txbxContent>
                    <w:p w:rsidR="009D372C" w:rsidRPr="009D372C" w:rsidP="007B38FF" w14:textId="49C25CA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type w:val="nextPage"/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260F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617B7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