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2.0 --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الذكاء الاصطناعي</w:t>
      </w:r>
    </w:p>
    <w:p>
      <w:pPr>
        <w:spacing w:after="8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الثالثة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الذكاء الاصطناعي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الصور-&gt;توليد البيانات المرئية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الصور-&gt;توليد البيانات المرئية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الصور-&gt;التعليم غير الموجه لتحليل الصور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الصور-&gt;التعليم غير الموجه لتحليل الصور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الصور-&gt;التعليم الموجه لتحليل الصور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الصور-&gt;التعليم الموجه لتحليل الصور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تحسين المسار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تحسين المسار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جدولة الموارد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جدولة الموارد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تخصيص الموارد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تخصيص الموارد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٢٨-١٢-١٤٤٧ إلى ٣-١-١٤٤٨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٦-١-١٤٤٨ إلى ١٠-١-١٤٤٨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والمجتمع-&gt;التطبيقات الروبوتيه 2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والمجتمع-&gt;التطبيقات الروبوتيه 1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٣٠-١١-١٤٤٧ إلى ٤-١٢-١٤٤٧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والمجتمع-&gt;التطبيقات الروبوتيه 1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والمجتمع-&gt;مقدمة في أخلاقيات الذكاء الاصطناعي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والمجتمع-&gt;مقدمة في أخلاقيات الذكاء الاصطناعي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  <w:sectPr>
          <w:pgSz w:w="16838" w:h="11906" w:orient="landscape"/>
          <w:pgMar w:top="400" w:right="400" w:bottom="300" w:left="400" w:header="708" w:footer="708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الذكاء الاصطناعي</w:t>
      </w:r>
    </w:p>
    <w:p>
      <w:pPr>
        <w:bidi/>
        <w:spacing w:after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32F2F"/>
          <w:sz w:val="22"/>
          <w:szCs w:val="22"/>
          <w:rtl/>
        </w:rPr>
        <w:t>(توزيع خاص بالمنطقة الغربية: مكة - المدينة - جدة - الطائف)</w:t>
      </w: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الثالثة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الذكاء الاصطناعي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الصور-&gt;توليد البيانات المرئية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الصور-&gt;توليد البيانات المرئية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الصور-&gt;التعليم غير الموجه لتحليل الصور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الصور-&gt;التعليم غير الموجه لتحليل الصور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الصور-&gt;التعليم الموجه لتحليل الصور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التعرف على الصور-&gt;التعليم الموجه لتحليل الصور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تحسين المسار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تحسين المسار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جدولة الموارد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جدولة الموارد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تخصيص الموارد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خوارزميات التحسين واتخاذ القرار-&gt;مشكلة تخصيص الموارد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٦-١-١٤٤٨ إلى ١٠-١-١٤٤٨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١٣-١-١٤٤٨ إلى ١٧-١-١٤٤٨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٢٨-١٢-١٤٤٧ إلى ٣-١-١٤٤٨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والمجتمع-&gt;التطبيقات الروبوتيه 2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والمجتمع-&gt;التطبيقات الروبوتيه 1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والمجتمع-&gt;التطبيقات الروبوتيه 1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والمجتمع-&gt;مقدمة في أخلاقيات الذكاء الاصطناعي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 والمجتمع-&gt;مقدمة في أخلاقيات الذكاء الاصطناعي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400" w:right="400" w:bottom="300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